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DC341" w14:textId="5B6D096F" w:rsidR="001F4331" w:rsidRPr="00497715" w:rsidRDefault="001F4331" w:rsidP="001F4331">
      <w:pPr>
        <w:jc w:val="right"/>
      </w:pPr>
      <w:r w:rsidRPr="00497715">
        <w:t xml:space="preserve">ANEXA </w:t>
      </w:r>
      <w:r w:rsidR="00497715" w:rsidRPr="00497715">
        <w:t>5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A042D" w:rsidRPr="00497715" w14:paraId="27CEFE2A" w14:textId="77777777" w:rsidTr="006035A3">
        <w:tc>
          <w:tcPr>
            <w:tcW w:w="9918" w:type="dxa"/>
            <w:shd w:val="clear" w:color="auto" w:fill="DBE5F1" w:themeFill="accent1" w:themeFillTint="33"/>
          </w:tcPr>
          <w:p w14:paraId="491266A9" w14:textId="77777777" w:rsidR="00C37C1E" w:rsidRPr="00497715" w:rsidRDefault="00C37C1E" w:rsidP="00C37C1E">
            <w:pPr>
              <w:pStyle w:val="Heading1"/>
              <w:outlineLvl w:val="0"/>
              <w:rPr>
                <w:lang w:val="ro-RO"/>
              </w:rPr>
            </w:pPr>
            <w:bookmarkStart w:id="0" w:name="_GoBack"/>
            <w:bookmarkEnd w:id="0"/>
            <w:r w:rsidRPr="00497715">
              <w:rPr>
                <w:lang w:val="ro-RO"/>
              </w:rPr>
              <w:t>Denumirea și adresa autorității contractante: Universitatea de Vest din Timișoara, Blv. V. Pârvan 4, 300223, Timișoara</w:t>
            </w:r>
          </w:p>
          <w:p w14:paraId="61F93876" w14:textId="77777777" w:rsidR="00C37C1E" w:rsidRPr="00497715" w:rsidRDefault="00C37C1E" w:rsidP="00C37C1E">
            <w:pPr>
              <w:pStyle w:val="Heading1"/>
              <w:outlineLvl w:val="0"/>
              <w:rPr>
                <w:lang w:val="ro-RO"/>
              </w:rPr>
            </w:pPr>
            <w:r w:rsidRPr="00497715">
              <w:rPr>
                <w:lang w:val="ro-RO"/>
              </w:rPr>
              <w:t>Denumirea ofertei: Furnizarea de echipamente IT (pe proiect RORS-337)</w:t>
            </w:r>
          </w:p>
          <w:p w14:paraId="30F7E341" w14:textId="77777777" w:rsidR="00C37C1E" w:rsidRPr="00497715" w:rsidRDefault="00C37C1E" w:rsidP="00C37C1E">
            <w:pPr>
              <w:pStyle w:val="Heading1"/>
              <w:outlineLvl w:val="0"/>
              <w:rPr>
                <w:lang w:val="ro-RO"/>
              </w:rPr>
            </w:pPr>
            <w:r w:rsidRPr="00497715">
              <w:rPr>
                <w:lang w:val="ro-RO"/>
              </w:rPr>
              <w:t>Număr referință:  RORS-337-WUT/08</w:t>
            </w:r>
          </w:p>
          <w:p w14:paraId="31F1E445" w14:textId="14888DE7" w:rsidR="001A042D" w:rsidRPr="00497715" w:rsidRDefault="00C37C1E" w:rsidP="00C37C1E">
            <w:pPr>
              <w:pStyle w:val="Heading1"/>
              <w:outlineLvl w:val="0"/>
              <w:rPr>
                <w:lang w:val="ro-RO"/>
              </w:rPr>
            </w:pPr>
            <w:r w:rsidRPr="00497715">
              <w:rPr>
                <w:lang w:val="ro-RO"/>
              </w:rPr>
              <w:t xml:space="preserve">Data lansării: </w:t>
            </w:r>
            <w:r w:rsidR="00993571" w:rsidRPr="00B00584">
              <w:rPr>
                <w:color w:val="FF0000"/>
                <w:lang w:val="ro-RO"/>
              </w:rPr>
              <w:t>12/12/2019</w:t>
            </w:r>
          </w:p>
        </w:tc>
      </w:tr>
      <w:tr w:rsidR="00BE2DD2" w:rsidRPr="00497715" w14:paraId="06F931E6" w14:textId="77777777" w:rsidTr="006035A3">
        <w:tc>
          <w:tcPr>
            <w:tcW w:w="9918" w:type="dxa"/>
          </w:tcPr>
          <w:p w14:paraId="51DC2EB8" w14:textId="3EADC42D" w:rsidR="00BE2DD2" w:rsidRPr="00497715" w:rsidRDefault="00BE2DD2" w:rsidP="006035A3">
            <w:pPr>
              <w:ind w:right="26"/>
              <w:jc w:val="both"/>
              <w:rPr>
                <w:szCs w:val="24"/>
              </w:rPr>
            </w:pPr>
          </w:p>
        </w:tc>
      </w:tr>
      <w:tr w:rsidR="00C37C1E" w:rsidRPr="00497715" w14:paraId="2C326EA4" w14:textId="77777777" w:rsidTr="00497715">
        <w:tc>
          <w:tcPr>
            <w:tcW w:w="9918" w:type="dxa"/>
            <w:shd w:val="clear" w:color="auto" w:fill="FDE9D9" w:themeFill="accent6" w:themeFillTint="33"/>
          </w:tcPr>
          <w:p w14:paraId="2D658F2D" w14:textId="48B069D3" w:rsidR="00C37C1E" w:rsidRPr="00497715" w:rsidRDefault="00497715" w:rsidP="00497715">
            <w:pPr>
              <w:pStyle w:val="Heading1"/>
              <w:jc w:val="center"/>
              <w:outlineLvl w:val="0"/>
              <w:rPr>
                <w:b w:val="0"/>
                <w:lang w:val="ro-RO"/>
              </w:rPr>
            </w:pPr>
            <w:r w:rsidRPr="00497715">
              <w:rPr>
                <w:rStyle w:val="Strong"/>
                <w:b/>
                <w:bCs/>
                <w:szCs w:val="28"/>
                <w:lang w:val="ro-RO"/>
              </w:rPr>
              <w:t>ANUNȚ DE ATRIBUIRE A CONTRACTULUI</w:t>
            </w:r>
          </w:p>
        </w:tc>
      </w:tr>
      <w:tr w:rsidR="00C37C1E" w:rsidRPr="00497715" w14:paraId="20983004" w14:textId="77777777" w:rsidTr="00497715">
        <w:tc>
          <w:tcPr>
            <w:tcW w:w="9918" w:type="dxa"/>
            <w:shd w:val="clear" w:color="auto" w:fill="EAF1DD" w:themeFill="accent3" w:themeFillTint="33"/>
          </w:tcPr>
          <w:p w14:paraId="13E3AE08" w14:textId="4F30B519" w:rsidR="00C37C1E" w:rsidRPr="00497715" w:rsidRDefault="00497715" w:rsidP="00497715">
            <w:pPr>
              <w:pStyle w:val="Heading2"/>
              <w:outlineLvl w:val="1"/>
              <w:rPr>
                <w:lang w:val="ro-RO"/>
              </w:rPr>
            </w:pPr>
            <w:r w:rsidRPr="00497715">
              <w:rPr>
                <w:lang w:val="ro-RO"/>
              </w:rPr>
              <w:t>1. Numărul și valoarea contractului</w:t>
            </w:r>
          </w:p>
        </w:tc>
      </w:tr>
      <w:tr w:rsidR="00C37C1E" w:rsidRPr="00497715" w14:paraId="722C8686" w14:textId="77777777" w:rsidTr="006035A3">
        <w:tc>
          <w:tcPr>
            <w:tcW w:w="9918" w:type="dxa"/>
          </w:tcPr>
          <w:p w14:paraId="6081CE01" w14:textId="0789CD09" w:rsidR="00497715" w:rsidRPr="00497715" w:rsidRDefault="00993571" w:rsidP="00497715">
            <w:pPr>
              <w:pStyle w:val="Blockquote"/>
              <w:spacing w:before="120" w:after="120"/>
              <w:ind w:left="426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Contract: RORS-337-</w:t>
            </w:r>
            <w:r w:rsidRPr="00993571">
              <w:rPr>
                <w:sz w:val="22"/>
                <w:szCs w:val="22"/>
                <w:lang w:val="ro-RO"/>
              </w:rPr>
              <w:t>08</w:t>
            </w:r>
            <w:r>
              <w:rPr>
                <w:sz w:val="22"/>
                <w:szCs w:val="22"/>
                <w:lang w:val="ro-RO"/>
              </w:rPr>
              <w:t xml:space="preserve">, </w:t>
            </w:r>
            <w:r w:rsidRPr="00993571">
              <w:rPr>
                <w:sz w:val="22"/>
                <w:szCs w:val="22"/>
                <w:lang w:val="ro-RO"/>
              </w:rPr>
              <w:t>Furnizarea de echipamente IT</w:t>
            </w:r>
            <w:r>
              <w:rPr>
                <w:sz w:val="22"/>
                <w:szCs w:val="22"/>
                <w:lang w:val="ro-RO"/>
              </w:rPr>
              <w:t xml:space="preserve"> /</w:t>
            </w:r>
            <w:r>
              <w:t xml:space="preserve"> </w:t>
            </w:r>
            <w:r w:rsidRPr="00993571">
              <w:rPr>
                <w:sz w:val="22"/>
                <w:szCs w:val="22"/>
                <w:lang w:val="ro-RO"/>
              </w:rPr>
              <w:t>valoare contract</w:t>
            </w:r>
            <w:r w:rsidR="00497715" w:rsidRPr="00497715">
              <w:rPr>
                <w:sz w:val="22"/>
                <w:szCs w:val="22"/>
                <w:lang w:val="ro-RO"/>
              </w:rPr>
              <w:t xml:space="preserve"> </w:t>
            </w:r>
            <w:r w:rsidRPr="00993571">
              <w:rPr>
                <w:sz w:val="22"/>
                <w:szCs w:val="22"/>
                <w:lang w:val="ro-RO"/>
              </w:rPr>
              <w:t>11290,72 EURO</w:t>
            </w:r>
          </w:p>
          <w:p w14:paraId="293505CE" w14:textId="702CDCE6" w:rsidR="00C37C1E" w:rsidRPr="00497715" w:rsidRDefault="00C37C1E" w:rsidP="00C37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715" w:rsidRPr="00497715" w14:paraId="47C99B24" w14:textId="77777777" w:rsidTr="00235C0C">
        <w:tc>
          <w:tcPr>
            <w:tcW w:w="9918" w:type="dxa"/>
            <w:shd w:val="clear" w:color="auto" w:fill="EAF1DD" w:themeFill="accent3" w:themeFillTint="33"/>
          </w:tcPr>
          <w:p w14:paraId="7EA62AEC" w14:textId="40CD9853" w:rsidR="00497715" w:rsidRPr="00497715" w:rsidRDefault="00497715" w:rsidP="00235C0C">
            <w:pPr>
              <w:pStyle w:val="Heading2"/>
              <w:outlineLvl w:val="1"/>
              <w:rPr>
                <w:lang w:val="ro-RO"/>
              </w:rPr>
            </w:pPr>
            <w:r w:rsidRPr="00497715">
              <w:rPr>
                <w:lang w:val="ro-RO"/>
              </w:rPr>
              <w:t>2. Data atribuirii contractului</w:t>
            </w:r>
          </w:p>
        </w:tc>
      </w:tr>
      <w:tr w:rsidR="00C37C1E" w:rsidRPr="00497715" w14:paraId="2EBBBA2F" w14:textId="77777777" w:rsidTr="006035A3">
        <w:tc>
          <w:tcPr>
            <w:tcW w:w="9918" w:type="dxa"/>
          </w:tcPr>
          <w:p w14:paraId="7E666628" w14:textId="5116116C" w:rsidR="00497715" w:rsidRPr="00497715" w:rsidRDefault="00993571" w:rsidP="00497715">
            <w:pPr>
              <w:pStyle w:val="Blockquote"/>
              <w:spacing w:before="120" w:after="120"/>
              <w:ind w:left="426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13 Februarie 2020</w:t>
            </w:r>
          </w:p>
          <w:p w14:paraId="211E9EB8" w14:textId="77777777" w:rsidR="00C37C1E" w:rsidRPr="00497715" w:rsidRDefault="00C37C1E" w:rsidP="00C37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715" w:rsidRPr="00497715" w14:paraId="593A70B6" w14:textId="77777777" w:rsidTr="00235C0C">
        <w:tc>
          <w:tcPr>
            <w:tcW w:w="9918" w:type="dxa"/>
            <w:shd w:val="clear" w:color="auto" w:fill="EAF1DD" w:themeFill="accent3" w:themeFillTint="33"/>
          </w:tcPr>
          <w:p w14:paraId="4EB6E34A" w14:textId="6CD22C44" w:rsidR="00497715" w:rsidRPr="00497715" w:rsidRDefault="00497715" w:rsidP="00235C0C">
            <w:pPr>
              <w:pStyle w:val="Heading2"/>
              <w:outlineLvl w:val="1"/>
              <w:rPr>
                <w:lang w:val="ro-RO"/>
              </w:rPr>
            </w:pPr>
            <w:r w:rsidRPr="00497715">
              <w:rPr>
                <w:lang w:val="ro-RO"/>
              </w:rPr>
              <w:t>3. Numărul de contracte primite</w:t>
            </w:r>
          </w:p>
        </w:tc>
      </w:tr>
      <w:tr w:rsidR="00497715" w:rsidRPr="00497715" w14:paraId="77364813" w14:textId="77777777" w:rsidTr="006035A3">
        <w:tc>
          <w:tcPr>
            <w:tcW w:w="9918" w:type="dxa"/>
          </w:tcPr>
          <w:p w14:paraId="51D54245" w14:textId="506BD52E" w:rsidR="00497715" w:rsidRPr="00785C87" w:rsidRDefault="00993571" w:rsidP="00497715">
            <w:pPr>
              <w:pStyle w:val="Blockquote"/>
              <w:spacing w:before="120" w:after="120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o"/>
              </w:rPr>
              <w:t>1</w:t>
            </w:r>
          </w:p>
          <w:p w14:paraId="3211FD7C" w14:textId="77777777" w:rsidR="00497715" w:rsidRPr="00497715" w:rsidRDefault="00497715" w:rsidP="00C37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715" w:rsidRPr="00497715" w14:paraId="3B0AD590" w14:textId="77777777" w:rsidTr="00235C0C">
        <w:tc>
          <w:tcPr>
            <w:tcW w:w="9918" w:type="dxa"/>
            <w:shd w:val="clear" w:color="auto" w:fill="EAF1DD" w:themeFill="accent3" w:themeFillTint="33"/>
          </w:tcPr>
          <w:p w14:paraId="201E074D" w14:textId="08A363FE" w:rsidR="00497715" w:rsidRPr="00497715" w:rsidRDefault="00497715" w:rsidP="00235C0C">
            <w:pPr>
              <w:pStyle w:val="Heading2"/>
              <w:outlineLvl w:val="1"/>
              <w:rPr>
                <w:lang w:val="ro-RO"/>
              </w:rPr>
            </w:pPr>
            <w:r>
              <w:rPr>
                <w:lang w:val="ro-RO"/>
              </w:rPr>
              <w:t>4</w:t>
            </w:r>
            <w:r w:rsidRPr="00497715">
              <w:rPr>
                <w:lang w:val="ro-RO"/>
              </w:rPr>
              <w:t>. Denumirea, adresa și naționalitatea ofertantului câștigător</w:t>
            </w:r>
          </w:p>
        </w:tc>
      </w:tr>
      <w:tr w:rsidR="00497715" w:rsidRPr="00497715" w14:paraId="1AEB17DF" w14:textId="77777777" w:rsidTr="006035A3">
        <w:tc>
          <w:tcPr>
            <w:tcW w:w="9918" w:type="dxa"/>
          </w:tcPr>
          <w:p w14:paraId="5A6C59F1" w14:textId="3B27B47C" w:rsidR="00993571" w:rsidRPr="00993571" w:rsidRDefault="00993571" w:rsidP="00993571">
            <w:pPr>
              <w:pStyle w:val="Blockquote"/>
              <w:spacing w:after="120"/>
              <w:ind w:left="426"/>
              <w:rPr>
                <w:sz w:val="22"/>
                <w:szCs w:val="22"/>
                <w:lang w:val="ro"/>
              </w:rPr>
            </w:pPr>
            <w:r>
              <w:rPr>
                <w:sz w:val="22"/>
                <w:szCs w:val="22"/>
                <w:lang w:val="ro"/>
              </w:rPr>
              <w:t>S</w:t>
            </w:r>
            <w:r w:rsidRPr="00993571">
              <w:rPr>
                <w:sz w:val="22"/>
                <w:szCs w:val="22"/>
                <w:lang w:val="ro"/>
              </w:rPr>
              <w:t>.</w:t>
            </w:r>
            <w:r>
              <w:rPr>
                <w:sz w:val="22"/>
                <w:szCs w:val="22"/>
                <w:lang w:val="ro"/>
              </w:rPr>
              <w:t>C</w:t>
            </w:r>
            <w:r w:rsidRPr="00993571">
              <w:rPr>
                <w:sz w:val="22"/>
                <w:szCs w:val="22"/>
                <w:lang w:val="ro"/>
              </w:rPr>
              <w:t>. STAS COMPUTER SRL</w:t>
            </w:r>
          </w:p>
          <w:p w14:paraId="4B20F938" w14:textId="77777777" w:rsidR="00497715" w:rsidRDefault="00993571" w:rsidP="00993571">
            <w:pPr>
              <w:pStyle w:val="Blockquote"/>
              <w:spacing w:before="120" w:after="120"/>
              <w:ind w:left="426"/>
              <w:rPr>
                <w:sz w:val="22"/>
                <w:szCs w:val="22"/>
                <w:lang w:val="ro"/>
              </w:rPr>
            </w:pPr>
            <w:r w:rsidRPr="00993571">
              <w:rPr>
                <w:sz w:val="22"/>
                <w:szCs w:val="22"/>
                <w:lang w:val="ro"/>
              </w:rPr>
              <w:t xml:space="preserve">Aleea Cristalului nr. 2A, </w:t>
            </w:r>
            <w:r>
              <w:rPr>
                <w:sz w:val="22"/>
                <w:szCs w:val="22"/>
                <w:lang w:val="ro"/>
              </w:rPr>
              <w:t>Timișoara, Timiș</w:t>
            </w:r>
          </w:p>
          <w:p w14:paraId="5C9D55A2" w14:textId="322309FB" w:rsidR="00993571" w:rsidRPr="00497715" w:rsidRDefault="00993571" w:rsidP="00993571">
            <w:pPr>
              <w:pStyle w:val="Blockquote"/>
              <w:spacing w:before="120" w:after="120"/>
              <w:ind w:left="426"/>
              <w:rPr>
                <w:szCs w:val="24"/>
                <w:lang w:val="ro-RO"/>
              </w:rPr>
            </w:pPr>
            <w:r>
              <w:rPr>
                <w:sz w:val="22"/>
                <w:szCs w:val="22"/>
                <w:lang w:val="ro"/>
              </w:rPr>
              <w:t>Română</w:t>
            </w:r>
          </w:p>
        </w:tc>
      </w:tr>
      <w:tr w:rsidR="00125239" w:rsidRPr="00497715" w14:paraId="354A3A86" w14:textId="77777777" w:rsidTr="00235C0C">
        <w:tc>
          <w:tcPr>
            <w:tcW w:w="9918" w:type="dxa"/>
            <w:shd w:val="clear" w:color="auto" w:fill="EAF1DD" w:themeFill="accent3" w:themeFillTint="33"/>
          </w:tcPr>
          <w:p w14:paraId="0B221347" w14:textId="28A9C7C7" w:rsidR="00125239" w:rsidRPr="00497715" w:rsidRDefault="00125239" w:rsidP="00235C0C">
            <w:pPr>
              <w:pStyle w:val="Heading2"/>
              <w:outlineLvl w:val="1"/>
              <w:rPr>
                <w:lang w:val="ro-RO"/>
              </w:rPr>
            </w:pPr>
            <w:r>
              <w:rPr>
                <w:lang w:val="ro-RO"/>
              </w:rPr>
              <w:t>5</w:t>
            </w:r>
            <w:r w:rsidRPr="00497715">
              <w:rPr>
                <w:lang w:val="ro-RO"/>
              </w:rPr>
              <w:t xml:space="preserve">. </w:t>
            </w:r>
            <w:r w:rsidRPr="00125239">
              <w:rPr>
                <w:lang w:val="ro-RO"/>
              </w:rPr>
              <w:t>Valabilitatea contractului</w:t>
            </w:r>
          </w:p>
        </w:tc>
      </w:tr>
      <w:tr w:rsidR="00497715" w:rsidRPr="00497715" w14:paraId="4648D812" w14:textId="77777777" w:rsidTr="006035A3">
        <w:tc>
          <w:tcPr>
            <w:tcW w:w="9918" w:type="dxa"/>
          </w:tcPr>
          <w:p w14:paraId="6EEAF1BD" w14:textId="1EB12536" w:rsidR="00497715" w:rsidRPr="00497715" w:rsidRDefault="00993571" w:rsidP="000E5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571">
              <w:rPr>
                <w:rFonts w:ascii="Times New Roman" w:eastAsia="Times New Roman" w:hAnsi="Times New Roman" w:cs="Times New Roman"/>
                <w:snapToGrid w:val="0"/>
                <w:lang w:val="ro"/>
              </w:rPr>
              <w:t xml:space="preserve">Valabilitatea contratului </w:t>
            </w:r>
            <w:r w:rsidR="000E5D30">
              <w:rPr>
                <w:rFonts w:ascii="Times New Roman" w:eastAsia="Times New Roman" w:hAnsi="Times New Roman" w:cs="Times New Roman"/>
                <w:snapToGrid w:val="0"/>
                <w:lang w:val="ro"/>
              </w:rPr>
              <w:t>se încheie în</w:t>
            </w:r>
            <w:r w:rsidRPr="00993571">
              <w:rPr>
                <w:rFonts w:ascii="Times New Roman" w:eastAsia="Times New Roman" w:hAnsi="Times New Roman" w:cs="Times New Roman"/>
                <w:snapToGrid w:val="0"/>
                <w:lang w:val="ro"/>
              </w:rPr>
              <w:t xml:space="preserve"> 6 luni sau înainte dac</w:t>
            </w:r>
            <w:r w:rsidR="00EC6623">
              <w:rPr>
                <w:rFonts w:ascii="Times New Roman" w:eastAsia="Times New Roman" w:hAnsi="Times New Roman" w:cs="Times New Roman"/>
                <w:snapToGrid w:val="0"/>
                <w:lang w:val="ro"/>
              </w:rPr>
              <w:t>ă</w:t>
            </w:r>
            <w:r w:rsidRPr="00993571">
              <w:rPr>
                <w:rFonts w:ascii="Times New Roman" w:eastAsia="Times New Roman" w:hAnsi="Times New Roman" w:cs="Times New Roman"/>
                <w:snapToGrid w:val="0"/>
                <w:lang w:val="ro"/>
              </w:rPr>
              <w:t xml:space="preserve"> sarcinil</w:t>
            </w:r>
            <w:r w:rsidR="00EC6623">
              <w:rPr>
                <w:rFonts w:ascii="Times New Roman" w:eastAsia="Times New Roman" w:hAnsi="Times New Roman" w:cs="Times New Roman"/>
                <w:snapToGrid w:val="0"/>
                <w:lang w:val="ro"/>
              </w:rPr>
              <w:t>e</w:t>
            </w:r>
            <w:r w:rsidRPr="00993571">
              <w:rPr>
                <w:rFonts w:ascii="Times New Roman" w:eastAsia="Times New Roman" w:hAnsi="Times New Roman" w:cs="Times New Roman"/>
                <w:snapToGrid w:val="0"/>
                <w:lang w:val="ro"/>
              </w:rPr>
              <w:t xml:space="preserve"> </w:t>
            </w:r>
            <w:r w:rsidR="00EC6623">
              <w:rPr>
                <w:rFonts w:ascii="Times New Roman" w:eastAsia="Times New Roman" w:hAnsi="Times New Roman" w:cs="Times New Roman"/>
                <w:snapToGrid w:val="0"/>
                <w:lang w:val="ro"/>
              </w:rPr>
              <w:t xml:space="preserve">contractuale au fost </w:t>
            </w:r>
            <w:r w:rsidR="000E5D30">
              <w:rPr>
                <w:rFonts w:ascii="Times New Roman" w:eastAsia="Times New Roman" w:hAnsi="Times New Roman" w:cs="Times New Roman"/>
                <w:snapToGrid w:val="0"/>
                <w:lang w:val="ro"/>
              </w:rPr>
              <w:t>îndeplinite.</w:t>
            </w:r>
          </w:p>
        </w:tc>
      </w:tr>
      <w:tr w:rsidR="00125239" w:rsidRPr="00497715" w14:paraId="771579F7" w14:textId="77777777" w:rsidTr="00235C0C">
        <w:tc>
          <w:tcPr>
            <w:tcW w:w="9918" w:type="dxa"/>
            <w:shd w:val="clear" w:color="auto" w:fill="EAF1DD" w:themeFill="accent3" w:themeFillTint="33"/>
          </w:tcPr>
          <w:p w14:paraId="62E144B3" w14:textId="07CD1E77" w:rsidR="00125239" w:rsidRPr="00497715" w:rsidRDefault="00125239" w:rsidP="00235C0C">
            <w:pPr>
              <w:pStyle w:val="Heading2"/>
              <w:outlineLvl w:val="1"/>
              <w:rPr>
                <w:lang w:val="ro-RO"/>
              </w:rPr>
            </w:pPr>
            <w:r>
              <w:rPr>
                <w:lang w:val="ro-RO"/>
              </w:rPr>
              <w:t>6</w:t>
            </w:r>
            <w:r w:rsidRPr="00497715">
              <w:rPr>
                <w:lang w:val="ro-RO"/>
              </w:rPr>
              <w:t xml:space="preserve">. </w:t>
            </w:r>
            <w:r>
              <w:rPr>
                <w:lang w:val="ro-RO"/>
              </w:rPr>
              <w:t>Baza legală</w:t>
            </w:r>
          </w:p>
        </w:tc>
      </w:tr>
      <w:tr w:rsidR="00497715" w:rsidRPr="00497715" w14:paraId="71660516" w14:textId="77777777" w:rsidTr="006035A3">
        <w:tc>
          <w:tcPr>
            <w:tcW w:w="9918" w:type="dxa"/>
          </w:tcPr>
          <w:tbl>
            <w:tblPr>
              <w:tblW w:w="948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87"/>
            </w:tblGrid>
            <w:tr w:rsidR="00125239" w:rsidRPr="00811839" w14:paraId="393EACA2" w14:textId="77777777" w:rsidTr="00235C0C">
              <w:trPr>
                <w:trHeight w:val="600"/>
              </w:trPr>
              <w:tc>
                <w:tcPr>
                  <w:tcW w:w="94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5D937CE" w14:textId="77777777" w:rsidR="00125239" w:rsidRPr="00811839" w:rsidRDefault="00125239" w:rsidP="00125239">
                  <w:pPr>
                    <w:pStyle w:val="Blockquote"/>
                    <w:ind w:left="644"/>
                    <w:jc w:val="both"/>
                    <w:rPr>
                      <w:rStyle w:val="Emphasis"/>
                      <w:i w:val="0"/>
                      <w:sz w:val="22"/>
                      <w:szCs w:val="22"/>
                    </w:rPr>
                  </w:pPr>
                  <w:r>
                    <w:rPr>
                      <w:rStyle w:val="Emphasis"/>
                      <w:i w:val="0"/>
                      <w:sz w:val="22"/>
                      <w:szCs w:val="22"/>
                      <w:lang w:val="ro"/>
                    </w:rPr>
                    <w:lastRenderedPageBreak/>
                    <w:t>Regulamentul (UE) nr. 231/2014 al Parlamentului European și al Consiliului din 11 martie 2014 de instituire a unui instrument de asistență pentru preaderare (IPA II);</w:t>
                  </w:r>
                </w:p>
              </w:tc>
            </w:tr>
            <w:tr w:rsidR="00125239" w:rsidRPr="00811839" w14:paraId="03EE76FD" w14:textId="77777777" w:rsidTr="00235C0C">
              <w:trPr>
                <w:trHeight w:val="600"/>
              </w:trPr>
              <w:tc>
                <w:tcPr>
                  <w:tcW w:w="94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47191AD" w14:textId="77777777" w:rsidR="00125239" w:rsidRPr="00811839" w:rsidRDefault="00125239" w:rsidP="00125239">
                  <w:pPr>
                    <w:pStyle w:val="Blockquote"/>
                    <w:ind w:left="644"/>
                    <w:jc w:val="both"/>
                    <w:rPr>
                      <w:rStyle w:val="Emphasis"/>
                      <w:i w:val="0"/>
                      <w:sz w:val="22"/>
                      <w:szCs w:val="22"/>
                    </w:rPr>
                  </w:pPr>
                  <w:r>
                    <w:rPr>
                      <w:rStyle w:val="Emphasis"/>
                      <w:i w:val="0"/>
                      <w:sz w:val="22"/>
                      <w:szCs w:val="22"/>
                      <w:lang w:val="ro"/>
                    </w:rPr>
                    <w:t>Regulamentul (UE) nr. 236/2014 al Parlamentului European și al Consiliului din 11 martie 2014 de stabilire a normelor și procedurilor comune pentru punerea în aplicare a instrumentelor Uniunii pentru finanțarea acțiunii externe;</w:t>
                  </w:r>
                </w:p>
              </w:tc>
            </w:tr>
            <w:tr w:rsidR="00125239" w:rsidRPr="00811839" w14:paraId="2BE08541" w14:textId="77777777" w:rsidTr="00235C0C">
              <w:trPr>
                <w:trHeight w:val="600"/>
              </w:trPr>
              <w:tc>
                <w:tcPr>
                  <w:tcW w:w="94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E5772EB" w14:textId="77777777" w:rsidR="00125239" w:rsidRPr="00811839" w:rsidRDefault="00125239" w:rsidP="00125239">
                  <w:pPr>
                    <w:pStyle w:val="Blockquote"/>
                    <w:ind w:left="644"/>
                    <w:jc w:val="both"/>
                    <w:rPr>
                      <w:rStyle w:val="Emphasis"/>
                      <w:i w:val="0"/>
                      <w:sz w:val="22"/>
                      <w:szCs w:val="22"/>
                    </w:rPr>
                  </w:pPr>
                  <w:r>
                    <w:rPr>
                      <w:rStyle w:val="Emphasis"/>
                      <w:i w:val="0"/>
                      <w:sz w:val="22"/>
                      <w:szCs w:val="22"/>
                      <w:lang w:val="ro"/>
                    </w:rPr>
                    <w:t>Regulamentul de punere în aplicare (UE) nr. 447/2014 al Comisiei din 2 mai 2014 privind normele specifice de punere în aplicare a Regulamentului (UE) nr. 231/2014 al Parlamentului European și al Consiliului de instituire a unui instrument de asistență pentru preaderare (IPA II);</w:t>
                  </w:r>
                </w:p>
              </w:tc>
            </w:tr>
            <w:tr w:rsidR="00125239" w:rsidRPr="00811839" w14:paraId="3834757E" w14:textId="77777777" w:rsidTr="00235C0C">
              <w:trPr>
                <w:trHeight w:val="600"/>
              </w:trPr>
              <w:tc>
                <w:tcPr>
                  <w:tcW w:w="94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F64C708" w14:textId="77777777" w:rsidR="00125239" w:rsidRPr="00811839" w:rsidRDefault="00125239" w:rsidP="00125239">
                  <w:pPr>
                    <w:pStyle w:val="Blockquote"/>
                    <w:ind w:left="644"/>
                    <w:jc w:val="both"/>
                    <w:rPr>
                      <w:rStyle w:val="Emphasis"/>
                      <w:i w:val="0"/>
                    </w:rPr>
                  </w:pPr>
                  <w:r>
                    <w:rPr>
                      <w:rStyle w:val="Emphasis"/>
                      <w:i w:val="0"/>
                      <w:lang w:val="ro"/>
                    </w:rPr>
                    <w:t>Regulamentul (UE, Euratom) nr. 966/2012 al Parlamentului European și al Consiliului din 25 octombrie 2012 privind normele financiare aplicabile bugetului general al Uniunii și de abrogare a Regulamentului (CE, Euratom) nr. 1605/2002 al Consiliului;</w:t>
                  </w:r>
                </w:p>
              </w:tc>
            </w:tr>
            <w:tr w:rsidR="00125239" w:rsidRPr="00811839" w14:paraId="37858AD4" w14:textId="77777777" w:rsidTr="00235C0C">
              <w:trPr>
                <w:trHeight w:val="600"/>
              </w:trPr>
              <w:tc>
                <w:tcPr>
                  <w:tcW w:w="94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F8C38B7" w14:textId="77777777" w:rsidR="00125239" w:rsidRPr="00811839" w:rsidRDefault="00125239" w:rsidP="00125239">
                  <w:pPr>
                    <w:pStyle w:val="Blockquote"/>
                    <w:ind w:left="644"/>
                    <w:jc w:val="both"/>
                    <w:rPr>
                      <w:rStyle w:val="Emphasis"/>
                      <w:i w:val="0"/>
                      <w:szCs w:val="24"/>
                    </w:rPr>
                  </w:pPr>
                  <w:r>
                    <w:rPr>
                      <w:rStyle w:val="Emphasis"/>
                      <w:i w:val="0"/>
                      <w:szCs w:val="24"/>
                      <w:lang w:val="ro"/>
                    </w:rPr>
                    <w:t xml:space="preserve">Regulamentul delegat (UE) nr. 1268/2012 al Comisiei din 29 octombrie 2012 </w:t>
                  </w:r>
                </w:p>
                <w:p w14:paraId="5168AB6E" w14:textId="77777777" w:rsidR="00125239" w:rsidRPr="00811839" w:rsidRDefault="00125239" w:rsidP="00125239">
                  <w:pPr>
                    <w:pStyle w:val="Blockquote"/>
                    <w:ind w:left="644"/>
                    <w:jc w:val="both"/>
                    <w:rPr>
                      <w:rStyle w:val="Emphasis"/>
                      <w:i w:val="0"/>
                      <w:szCs w:val="24"/>
                    </w:rPr>
                  </w:pPr>
                  <w:r>
                    <w:rPr>
                      <w:rStyle w:val="Emphasis"/>
                      <w:i w:val="0"/>
                      <w:szCs w:val="24"/>
                      <w:lang w:val="ro"/>
                    </w:rPr>
                    <w:t>privind normele de aplicare a Regulamentului (UE, Euratom) nr. 966/2012 al Parlamentului European și al Consiliului privind normele financiare aplicabile bugetului general al Uniunii;</w:t>
                  </w:r>
                </w:p>
              </w:tc>
            </w:tr>
          </w:tbl>
          <w:p w14:paraId="192BC820" w14:textId="77777777" w:rsidR="00125239" w:rsidRDefault="00125239" w:rsidP="00125239">
            <w:pPr>
              <w:pStyle w:val="Blockquote"/>
              <w:ind w:left="644"/>
              <w:jc w:val="both"/>
              <w:rPr>
                <w:rStyle w:val="Emphasis"/>
                <w:i w:val="0"/>
                <w:szCs w:val="24"/>
              </w:rPr>
            </w:pPr>
            <w:r>
              <w:rPr>
                <w:rStyle w:val="Emphasis"/>
                <w:i w:val="0"/>
                <w:szCs w:val="24"/>
                <w:lang w:val="ro"/>
              </w:rPr>
              <w:t xml:space="preserve">Ghid practic privind procedurile de contractare a acțiunilor externe ale UE, publicat pe EuropeAid </w:t>
            </w:r>
          </w:p>
          <w:p w14:paraId="3FA936B0" w14:textId="77777777" w:rsidR="00125239" w:rsidRDefault="00125239" w:rsidP="00125239">
            <w:pPr>
              <w:pStyle w:val="Blockquote"/>
              <w:ind w:left="644"/>
              <w:jc w:val="both"/>
              <w:rPr>
                <w:rStyle w:val="Emphasis"/>
                <w:i w:val="0"/>
                <w:szCs w:val="24"/>
              </w:rPr>
            </w:pPr>
            <w:r>
              <w:rPr>
                <w:rStyle w:val="Emphasis"/>
                <w:i w:val="0"/>
                <w:szCs w:val="24"/>
                <w:lang w:val="ro"/>
              </w:rPr>
              <w:t>Versiunea PRAG</w:t>
            </w:r>
            <w:r>
              <w:rPr>
                <w:color w:val="444444"/>
                <w:szCs w:val="24"/>
                <w:shd w:val="clear" w:color="auto" w:fill="FFFFFF"/>
                <w:lang w:val="ro"/>
              </w:rPr>
              <w:t xml:space="preserve">15 ianuarie 2016  </w:t>
            </w:r>
            <w:hyperlink r:id="rId8" w:history="1">
              <w:r>
                <w:rPr>
                  <w:rStyle w:val="Hyperlink"/>
                  <w:lang w:val="ro"/>
                </w:rPr>
                <w:t>http://ec.europa.eu/europeaid/prag/</w:t>
              </w:r>
            </w:hyperlink>
            <w:r>
              <w:rPr>
                <w:rStyle w:val="Emphasis"/>
                <w:i w:val="0"/>
                <w:szCs w:val="24"/>
                <w:lang w:val="ro"/>
              </w:rPr>
              <w:t xml:space="preserve"> </w:t>
            </w:r>
          </w:p>
          <w:p w14:paraId="59A3C737" w14:textId="64FEFE1B" w:rsidR="00125239" w:rsidRDefault="00086400" w:rsidP="00125239">
            <w:pPr>
              <w:pStyle w:val="Blockquote"/>
              <w:ind w:left="644"/>
              <w:jc w:val="both"/>
              <w:rPr>
                <w:rStyle w:val="Emphasis"/>
                <w:i w:val="0"/>
                <w:szCs w:val="24"/>
              </w:rPr>
            </w:pPr>
            <w:hyperlink r:id="rId9" w:history="1">
              <w:r w:rsidR="00125239" w:rsidRPr="00D827AA">
                <w:rPr>
                  <w:rStyle w:val="Hyperlink"/>
                  <w:lang w:val="ro"/>
                </w:rPr>
                <w:t>http://ec.europa.eu/europeaid/prag/?header_description=DEVCO+Prag+to+financial+ and+contractual+procedures+applicable+to+external+actions+financed+from+the+ general+budget+of+the+EU+and+from+the+11th+EDF&amp;header_ keywords=ePrag%2C+europa</w:t>
              </w:r>
            </w:hyperlink>
            <w:r w:rsidR="00125239">
              <w:rPr>
                <w:rStyle w:val="Emphasis"/>
                <w:i w:val="0"/>
                <w:szCs w:val="24"/>
                <w:lang w:val="ro"/>
              </w:rPr>
              <w:t xml:space="preserve"> </w:t>
            </w:r>
          </w:p>
          <w:p w14:paraId="7A5386C4" w14:textId="77777777" w:rsidR="00497715" w:rsidRPr="00497715" w:rsidRDefault="00497715" w:rsidP="00C37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34AA51" w14:textId="7676C362" w:rsidR="009B05FA" w:rsidRPr="00497715" w:rsidRDefault="009B05FA" w:rsidP="00C37C1E"/>
    <w:sectPr w:rsidR="009B05FA" w:rsidRPr="00497715" w:rsidSect="00F77E71">
      <w:headerReference w:type="default" r:id="rId10"/>
      <w:footerReference w:type="default" r:id="rId11"/>
      <w:type w:val="continuous"/>
      <w:pgSz w:w="11906" w:h="16838" w:code="9"/>
      <w:pgMar w:top="1701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F3E21" w14:textId="77777777" w:rsidR="00086400" w:rsidRDefault="00086400" w:rsidP="00DC521C">
      <w:r>
        <w:separator/>
      </w:r>
    </w:p>
  </w:endnote>
  <w:endnote w:type="continuationSeparator" w:id="0">
    <w:p w14:paraId="6AF773A6" w14:textId="77777777" w:rsidR="00086400" w:rsidRDefault="00086400" w:rsidP="00DC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5EAE0" w14:textId="096D05C3" w:rsidR="007A7452" w:rsidRPr="007A7452" w:rsidRDefault="007A7452" w:rsidP="00EA77C6">
    <w:pPr>
      <w:pStyle w:val="Footer"/>
    </w:pPr>
  </w:p>
  <w:tbl>
    <w:tblPr>
      <w:tblStyle w:val="TableGrid"/>
      <w:tblW w:w="10065" w:type="dxa"/>
      <w:tblBorders>
        <w:top w:val="single" w:sz="24" w:space="0" w:color="0070C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8369"/>
    </w:tblGrid>
    <w:tr w:rsidR="001F2AFE" w:rsidRPr="00EA77C6" w14:paraId="43F3DDA9" w14:textId="77777777" w:rsidTr="00EA77C6">
      <w:trPr>
        <w:trHeight w:val="698"/>
      </w:trPr>
      <w:tc>
        <w:tcPr>
          <w:tcW w:w="1696" w:type="dxa"/>
          <w:vMerge w:val="restart"/>
        </w:tcPr>
        <w:p w14:paraId="24215C7D" w14:textId="12124DDF" w:rsidR="001F2AFE" w:rsidRDefault="001F2AFE" w:rsidP="00EA77C6">
          <w:pPr>
            <w:pStyle w:val="Footer"/>
          </w:pPr>
          <w:r>
            <w:rPr>
              <w:noProof/>
              <w:lang w:eastAsia="ro-RO"/>
            </w:rPr>
            <w:drawing>
              <wp:anchor distT="0" distB="0" distL="114300" distR="114300" simplePos="0" relativeHeight="251769856" behindDoc="0" locked="0" layoutInCell="1" allowOverlap="1" wp14:anchorId="634225CC" wp14:editId="62613176">
                <wp:simplePos x="0" y="0"/>
                <wp:positionH relativeFrom="column">
                  <wp:posOffset>20955</wp:posOffset>
                </wp:positionH>
                <wp:positionV relativeFrom="paragraph">
                  <wp:posOffset>115266</wp:posOffset>
                </wp:positionV>
                <wp:extent cx="900000" cy="720000"/>
                <wp:effectExtent l="0" t="0" r="0" b="4445"/>
                <wp:wrapNone/>
                <wp:docPr id="175" name="Picture 1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" name="Proiect&amp;Partner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369" w:type="dxa"/>
        </w:tcPr>
        <w:p w14:paraId="5BDEE715" w14:textId="6418AC02" w:rsidR="001F2AFE" w:rsidRPr="00EA77C6" w:rsidRDefault="001F2AFE" w:rsidP="00EA77C6">
          <w:pPr>
            <w:spacing w:before="0" w:line="240" w:lineRule="auto"/>
            <w:rPr>
              <w:sz w:val="16"/>
              <w:szCs w:val="16"/>
            </w:rPr>
          </w:pPr>
        </w:p>
        <w:p w14:paraId="4261EBB4" w14:textId="66F6F036" w:rsidR="001F2AFE" w:rsidRPr="00EA77C6" w:rsidRDefault="001F2AFE" w:rsidP="00EA77C6">
          <w:pPr>
            <w:pStyle w:val="Footer"/>
          </w:pPr>
          <w:r w:rsidRPr="00EA77C6">
            <w:t>Cooperation beyond borders.</w:t>
          </w:r>
        </w:p>
        <w:p w14:paraId="2EE5E0F5" w14:textId="2ADFF088" w:rsidR="001F2AFE" w:rsidRPr="00EA77C6" w:rsidRDefault="001F2AFE" w:rsidP="00EA77C6">
          <w:pPr>
            <w:pStyle w:val="Footer"/>
          </w:pPr>
          <w:r w:rsidRPr="00EA77C6">
            <w:t>Interreg-IPA Cross-border Cooperation Romania-Serbia Programme is financed by the European Union under the Instrument for Pre-accession Assistance (IPA II) and co-financed by the partner states in the Programme.</w:t>
          </w:r>
        </w:p>
      </w:tc>
    </w:tr>
    <w:tr w:rsidR="001F2AFE" w:rsidRPr="00EA77C6" w14:paraId="128FC169" w14:textId="77777777" w:rsidTr="00EA77C6">
      <w:trPr>
        <w:trHeight w:val="697"/>
      </w:trPr>
      <w:tc>
        <w:tcPr>
          <w:tcW w:w="1696" w:type="dxa"/>
          <w:vMerge/>
        </w:tcPr>
        <w:p w14:paraId="3C1B5035" w14:textId="77777777" w:rsidR="001F2AFE" w:rsidRDefault="001F2AFE" w:rsidP="00EA77C6">
          <w:pPr>
            <w:pStyle w:val="Footer"/>
            <w:rPr>
              <w:noProof/>
            </w:rPr>
          </w:pPr>
        </w:p>
      </w:tc>
      <w:tc>
        <w:tcPr>
          <w:tcW w:w="8369" w:type="dxa"/>
        </w:tcPr>
        <w:p w14:paraId="7EE0D672" w14:textId="3C94D583" w:rsidR="001F2AFE" w:rsidRPr="00EA77C6" w:rsidRDefault="001F2AFE" w:rsidP="00EA77C6">
          <w:pPr>
            <w:spacing w:before="0" w:line="240" w:lineRule="auto"/>
            <w:rPr>
              <w:sz w:val="16"/>
              <w:szCs w:val="16"/>
            </w:rPr>
          </w:pPr>
          <w:r w:rsidRPr="00EA77C6">
            <w:rPr>
              <w:noProof/>
              <w:sz w:val="16"/>
              <w:szCs w:val="16"/>
              <w:lang w:eastAsia="ro-RO"/>
            </w:rPr>
            <mc:AlternateContent>
              <mc:Choice Requires="wps">
                <w:drawing>
                  <wp:anchor distT="0" distB="0" distL="114300" distR="114300" simplePos="0" relativeHeight="251770880" behindDoc="0" locked="0" layoutInCell="1" allowOverlap="1" wp14:anchorId="43078306" wp14:editId="70F5C57D">
                    <wp:simplePos x="0" y="0"/>
                    <wp:positionH relativeFrom="column">
                      <wp:posOffset>3931285</wp:posOffset>
                    </wp:positionH>
                    <wp:positionV relativeFrom="paragraph">
                      <wp:posOffset>189865</wp:posOffset>
                    </wp:positionV>
                    <wp:extent cx="1828800" cy="1828800"/>
                    <wp:effectExtent l="0" t="0" r="0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6A4B1A0" w14:textId="77777777" w:rsidR="001F2AFE" w:rsidRPr="005B7C2B" w:rsidRDefault="001F2AFE" w:rsidP="00DC521C">
                                <w:r w:rsidRPr="00315BE3">
                                  <w:t xml:space="preserve">Page </w:t>
                                </w:r>
                                <w:r w:rsidRPr="00315BE3">
                                  <w:fldChar w:fldCharType="begin"/>
                                </w:r>
                                <w:r w:rsidRPr="00315BE3">
                                  <w:instrText xml:space="preserve"> PAGE  \* Arabic  \* MERGEFORMAT </w:instrText>
                                </w:r>
                                <w:r w:rsidRPr="00315BE3">
                                  <w:fldChar w:fldCharType="separate"/>
                                </w:r>
                                <w:r w:rsidR="00800B83">
                                  <w:rPr>
                                    <w:noProof/>
                                  </w:rPr>
                                  <w:t>1</w:t>
                                </w:r>
                                <w:r w:rsidRPr="00315BE3">
                                  <w:fldChar w:fldCharType="end"/>
                                </w:r>
                                <w:r w:rsidRPr="00315BE3">
                                  <w:t xml:space="preserve"> of </w:t>
                                </w:r>
                                <w:r w:rsidR="00086400">
                                  <w:fldChar w:fldCharType="begin"/>
                                </w:r>
                                <w:r w:rsidR="00086400">
                                  <w:instrText xml:space="preserve"> NUMPAGES  \* Arabic  \* MERGEFORMAT </w:instrText>
                                </w:r>
                                <w:r w:rsidR="00086400">
                                  <w:fldChar w:fldCharType="separate"/>
                                </w:r>
                                <w:r w:rsidR="00800B83">
                                  <w:rPr>
                                    <w:noProof/>
                                  </w:rPr>
                                  <w:t>2</w:t>
                                </w:r>
                                <w:r w:rsidR="00086400"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307830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309.55pt;margin-top:14.95pt;width:2in;height:2in;z-index:2517708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" filled="f" stroked="f" strokeweight=".5pt">
                    <v:textbox style="mso-fit-shape-to-text:t">
                      <w:txbxContent>
                        <w:p w14:paraId="76A4B1A0" w14:textId="77777777" w:rsidR="001F2AFE" w:rsidRPr="005B7C2B" w:rsidRDefault="001F2AFE" w:rsidP="00DC521C">
                          <w:r w:rsidRPr="00315BE3">
                            <w:t xml:space="preserve">Page </w:t>
                          </w:r>
                          <w:r w:rsidRPr="00315BE3">
                            <w:fldChar w:fldCharType="begin"/>
                          </w:r>
                          <w:r w:rsidRPr="00315BE3">
                            <w:instrText xml:space="preserve"> PAGE  \* Arabic  \* MERGEFORMAT </w:instrText>
                          </w:r>
                          <w:r w:rsidRPr="00315BE3">
                            <w:fldChar w:fldCharType="separate"/>
                          </w:r>
                          <w:r w:rsidR="00800B83">
                            <w:rPr>
                              <w:noProof/>
                            </w:rPr>
                            <w:t>1</w:t>
                          </w:r>
                          <w:r w:rsidRPr="00315BE3">
                            <w:fldChar w:fldCharType="end"/>
                          </w:r>
                          <w:r w:rsidRPr="00315BE3">
                            <w:t xml:space="preserve"> of </w:t>
                          </w:r>
                          <w:r w:rsidR="00086400">
                            <w:fldChar w:fldCharType="begin"/>
                          </w:r>
                          <w:r w:rsidR="00086400">
                            <w:instrText xml:space="preserve"> NUMPAGES  \* Arabic  \* MERGEFORMAT </w:instrText>
                          </w:r>
                          <w:r w:rsidR="00086400">
                            <w:fldChar w:fldCharType="separate"/>
                          </w:r>
                          <w:r w:rsidR="00800B83">
                            <w:rPr>
                              <w:noProof/>
                            </w:rPr>
                            <w:t>2</w:t>
                          </w:r>
                          <w:r w:rsidR="0008640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C2064" w:rsidRPr="00EA77C6">
            <w:rPr>
              <w:sz w:val="16"/>
              <w:szCs w:val="16"/>
            </w:rPr>
            <w:t xml:space="preserve">Project RoRS 337- </w:t>
          </w:r>
          <w:r w:rsidRPr="00EA77C6">
            <w:rPr>
              <w:sz w:val="16"/>
              <w:szCs w:val="16"/>
            </w:rPr>
            <w:t>ROmania Serbia NETwork for assessing and disseminating the impact of copper mining activities on water quality in the cross-border area</w:t>
          </w:r>
          <w:r w:rsidR="000C2064" w:rsidRPr="00EA77C6">
            <w:rPr>
              <w:sz w:val="16"/>
              <w:szCs w:val="16"/>
            </w:rPr>
            <w:t xml:space="preserve"> (RoS-NET2</w:t>
          </w:r>
          <w:r w:rsidR="000A180B" w:rsidRPr="00EA77C6">
            <w:rPr>
              <w:sz w:val="16"/>
              <w:szCs w:val="16"/>
            </w:rPr>
            <w:t>)</w:t>
          </w:r>
        </w:p>
      </w:tc>
    </w:tr>
  </w:tbl>
  <w:p w14:paraId="14A3C96D" w14:textId="2082DF64" w:rsidR="006D5E06" w:rsidRPr="00F23651" w:rsidRDefault="006D5E06" w:rsidP="00EA7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0228E" w14:textId="77777777" w:rsidR="00086400" w:rsidRDefault="00086400" w:rsidP="00DC521C">
      <w:r>
        <w:separator/>
      </w:r>
    </w:p>
  </w:footnote>
  <w:footnote w:type="continuationSeparator" w:id="0">
    <w:p w14:paraId="264EDF95" w14:textId="77777777" w:rsidR="00086400" w:rsidRDefault="00086400" w:rsidP="00DC5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065" w:type="dxa"/>
      <w:tblInd w:w="-14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5"/>
    </w:tblGrid>
    <w:tr w:rsidR="007A7452" w14:paraId="660F9EBB" w14:textId="77777777" w:rsidTr="00F77E71">
      <w:trPr>
        <w:trHeight w:val="1273"/>
      </w:trPr>
      <w:tc>
        <w:tcPr>
          <w:tcW w:w="10065" w:type="dxa"/>
          <w:tcBorders>
            <w:bottom w:val="single" w:sz="24" w:space="0" w:color="0070C0"/>
          </w:tcBorders>
        </w:tcPr>
        <w:p w14:paraId="478C2260" w14:textId="77777777" w:rsidR="007A7452" w:rsidRDefault="007A7452" w:rsidP="00DC521C">
          <w:pPr>
            <w:pStyle w:val="Header"/>
          </w:pPr>
          <w:r w:rsidRPr="007A7452">
            <w:rPr>
              <w:noProof/>
              <w:lang w:eastAsia="ro-RO"/>
            </w:rPr>
            <w:drawing>
              <wp:anchor distT="0" distB="0" distL="114300" distR="114300" simplePos="0" relativeHeight="251764736" behindDoc="1" locked="0" layoutInCell="1" allowOverlap="1" wp14:anchorId="00494E52" wp14:editId="66C59F41">
                <wp:simplePos x="0" y="0"/>
                <wp:positionH relativeFrom="column">
                  <wp:posOffset>4878705</wp:posOffset>
                </wp:positionH>
                <wp:positionV relativeFrom="paragraph">
                  <wp:posOffset>0</wp:posOffset>
                </wp:positionV>
                <wp:extent cx="619125" cy="673100"/>
                <wp:effectExtent l="0" t="0" r="9525" b="0"/>
                <wp:wrapTight wrapText="bothSides">
                  <wp:wrapPolygon edited="0">
                    <wp:start x="5317" y="0"/>
                    <wp:lineTo x="1329" y="4279"/>
                    <wp:lineTo x="0" y="6725"/>
                    <wp:lineTo x="0" y="10392"/>
                    <wp:lineTo x="1994" y="20785"/>
                    <wp:lineTo x="11298" y="20785"/>
                    <wp:lineTo x="14622" y="20785"/>
                    <wp:lineTo x="16615" y="20785"/>
                    <wp:lineTo x="18609" y="20174"/>
                    <wp:lineTo x="21268" y="7336"/>
                    <wp:lineTo x="18609" y="3057"/>
                    <wp:lineTo x="14622" y="0"/>
                    <wp:lineTo x="5317" y="0"/>
                  </wp:wrapPolygon>
                </wp:wrapTight>
                <wp:docPr id="173" name="Picture 1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61912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A7452">
            <w:rPr>
              <w:noProof/>
              <w:lang w:eastAsia="ro-RO"/>
            </w:rPr>
            <w:drawing>
              <wp:anchor distT="0" distB="0" distL="114300" distR="114300" simplePos="0" relativeHeight="251763712" behindDoc="1" locked="0" layoutInCell="1" allowOverlap="1" wp14:anchorId="2FF4AAE0" wp14:editId="584C0DF3">
                <wp:simplePos x="0" y="0"/>
                <wp:positionH relativeFrom="column">
                  <wp:posOffset>180340</wp:posOffset>
                </wp:positionH>
                <wp:positionV relativeFrom="paragraph">
                  <wp:posOffset>-374954</wp:posOffset>
                </wp:positionV>
                <wp:extent cx="4211955" cy="647700"/>
                <wp:effectExtent l="0" t="0" r="0" b="0"/>
                <wp:wrapTight wrapText="bothSides">
                  <wp:wrapPolygon edited="0">
                    <wp:start x="0" y="0"/>
                    <wp:lineTo x="0" y="20965"/>
                    <wp:lineTo x="21493" y="20965"/>
                    <wp:lineTo x="21493" y="0"/>
                    <wp:lineTo x="0" y="0"/>
                  </wp:wrapPolygon>
                </wp:wrapTight>
                <wp:docPr id="174" name="Picture 1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terreg-IPA logo vers. 2 - ENG (w).png"/>
                        <pic:cNvPicPr/>
                      </pic:nvPicPr>
                      <pic:blipFill rotWithShape="1">
                        <a:blip r:embed="rId2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 l="2673" t="16997" r="3245" b="15356"/>
                        <a:stretch/>
                      </pic:blipFill>
                      <pic:spPr bwMode="auto">
                        <a:xfrm>
                          <a:off x="0" y="0"/>
                          <a:ext cx="4211955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DE21F77" w14:textId="4E3AF9C0" w:rsidR="00241600" w:rsidRPr="007A7452" w:rsidRDefault="00241600" w:rsidP="00DC52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C57E6"/>
    <w:multiLevelType w:val="hybridMultilevel"/>
    <w:tmpl w:val="43D25F2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5F0218"/>
    <w:multiLevelType w:val="hybridMultilevel"/>
    <w:tmpl w:val="FBFC8C7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41595F"/>
    <w:multiLevelType w:val="hybridMultilevel"/>
    <w:tmpl w:val="A21A51E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B56BC"/>
    <w:multiLevelType w:val="hybridMultilevel"/>
    <w:tmpl w:val="50C04D9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6E0AA0"/>
    <w:multiLevelType w:val="hybridMultilevel"/>
    <w:tmpl w:val="B9F2EDD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ED14CA"/>
    <w:multiLevelType w:val="hybridMultilevel"/>
    <w:tmpl w:val="77381BF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1827AA"/>
    <w:multiLevelType w:val="hybridMultilevel"/>
    <w:tmpl w:val="6DD899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2C6C77"/>
    <w:multiLevelType w:val="hybridMultilevel"/>
    <w:tmpl w:val="BCEACFD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1B78BE"/>
    <w:multiLevelType w:val="hybridMultilevel"/>
    <w:tmpl w:val="AD38EB7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3C5783"/>
    <w:multiLevelType w:val="hybridMultilevel"/>
    <w:tmpl w:val="02CEED7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733FFA"/>
    <w:multiLevelType w:val="hybridMultilevel"/>
    <w:tmpl w:val="760E5D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5F2B0E"/>
    <w:multiLevelType w:val="hybridMultilevel"/>
    <w:tmpl w:val="C4964DD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E481D24"/>
    <w:multiLevelType w:val="hybridMultilevel"/>
    <w:tmpl w:val="EE86362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A266815"/>
    <w:multiLevelType w:val="hybridMultilevel"/>
    <w:tmpl w:val="E076AA3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D086B39"/>
    <w:multiLevelType w:val="hybridMultilevel"/>
    <w:tmpl w:val="EFAC26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8"/>
  </w:num>
  <w:num w:numId="5">
    <w:abstractNumId w:val="13"/>
  </w:num>
  <w:num w:numId="6">
    <w:abstractNumId w:val="0"/>
  </w:num>
  <w:num w:numId="7">
    <w:abstractNumId w:val="7"/>
  </w:num>
  <w:num w:numId="8">
    <w:abstractNumId w:val="11"/>
  </w:num>
  <w:num w:numId="9">
    <w:abstractNumId w:val="15"/>
  </w:num>
  <w:num w:numId="10">
    <w:abstractNumId w:val="14"/>
  </w:num>
  <w:num w:numId="11">
    <w:abstractNumId w:val="6"/>
  </w:num>
  <w:num w:numId="12">
    <w:abstractNumId w:val="5"/>
  </w:num>
  <w:num w:numId="13">
    <w:abstractNumId w:val="2"/>
  </w:num>
  <w:num w:numId="14">
    <w:abstractNumId w:val="1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3MzIwNTQ0MTcwNTZS0lEKTi0uzszPAymwrAUAp6Dr3ywAAAA="/>
  </w:docVars>
  <w:rsids>
    <w:rsidRoot w:val="00BF6929"/>
    <w:rsid w:val="00003F34"/>
    <w:rsid w:val="00006080"/>
    <w:rsid w:val="00020E8A"/>
    <w:rsid w:val="00026FE0"/>
    <w:rsid w:val="00086400"/>
    <w:rsid w:val="00090E89"/>
    <w:rsid w:val="000A1181"/>
    <w:rsid w:val="000A180B"/>
    <w:rsid w:val="000C130F"/>
    <w:rsid w:val="000C2064"/>
    <w:rsid w:val="000C5E60"/>
    <w:rsid w:val="000C69E3"/>
    <w:rsid w:val="000E5D30"/>
    <w:rsid w:val="000E7FB1"/>
    <w:rsid w:val="00125239"/>
    <w:rsid w:val="00131CA0"/>
    <w:rsid w:val="00140152"/>
    <w:rsid w:val="00152361"/>
    <w:rsid w:val="001610D0"/>
    <w:rsid w:val="00196A41"/>
    <w:rsid w:val="001A042D"/>
    <w:rsid w:val="001A4AEA"/>
    <w:rsid w:val="001B4A1F"/>
    <w:rsid w:val="001C04A5"/>
    <w:rsid w:val="001D734F"/>
    <w:rsid w:val="001F2AFE"/>
    <w:rsid w:val="001F4331"/>
    <w:rsid w:val="00240573"/>
    <w:rsid w:val="00241600"/>
    <w:rsid w:val="0025783C"/>
    <w:rsid w:val="00262C5C"/>
    <w:rsid w:val="00280259"/>
    <w:rsid w:val="0029759A"/>
    <w:rsid w:val="002B7BAD"/>
    <w:rsid w:val="002D5DD4"/>
    <w:rsid w:val="00315BE3"/>
    <w:rsid w:val="003533FF"/>
    <w:rsid w:val="003812E1"/>
    <w:rsid w:val="00384C3C"/>
    <w:rsid w:val="00394144"/>
    <w:rsid w:val="003A6F08"/>
    <w:rsid w:val="003B55C9"/>
    <w:rsid w:val="003D5525"/>
    <w:rsid w:val="003E4ABF"/>
    <w:rsid w:val="003F1C63"/>
    <w:rsid w:val="00410369"/>
    <w:rsid w:val="00436EEE"/>
    <w:rsid w:val="004676BC"/>
    <w:rsid w:val="004832B3"/>
    <w:rsid w:val="0048751C"/>
    <w:rsid w:val="00497715"/>
    <w:rsid w:val="004A5465"/>
    <w:rsid w:val="004C363E"/>
    <w:rsid w:val="004D1D7C"/>
    <w:rsid w:val="004D3791"/>
    <w:rsid w:val="004E08DA"/>
    <w:rsid w:val="004E54E5"/>
    <w:rsid w:val="004F708A"/>
    <w:rsid w:val="00512318"/>
    <w:rsid w:val="00530480"/>
    <w:rsid w:val="005577BB"/>
    <w:rsid w:val="005A4369"/>
    <w:rsid w:val="005A45B1"/>
    <w:rsid w:val="005A7B14"/>
    <w:rsid w:val="005B1787"/>
    <w:rsid w:val="005B3180"/>
    <w:rsid w:val="005B6F4C"/>
    <w:rsid w:val="005D1FDE"/>
    <w:rsid w:val="005D4BA9"/>
    <w:rsid w:val="005F15C7"/>
    <w:rsid w:val="006035A3"/>
    <w:rsid w:val="00611979"/>
    <w:rsid w:val="0061538E"/>
    <w:rsid w:val="0062563A"/>
    <w:rsid w:val="006666F2"/>
    <w:rsid w:val="00686D58"/>
    <w:rsid w:val="00690953"/>
    <w:rsid w:val="006A5D7E"/>
    <w:rsid w:val="006B0887"/>
    <w:rsid w:val="006B1ED6"/>
    <w:rsid w:val="006D5E06"/>
    <w:rsid w:val="006E52E9"/>
    <w:rsid w:val="006E6DA4"/>
    <w:rsid w:val="00706118"/>
    <w:rsid w:val="00711B8A"/>
    <w:rsid w:val="00716F92"/>
    <w:rsid w:val="0072154B"/>
    <w:rsid w:val="00732847"/>
    <w:rsid w:val="0073503E"/>
    <w:rsid w:val="00745FC5"/>
    <w:rsid w:val="007533BE"/>
    <w:rsid w:val="0077647B"/>
    <w:rsid w:val="00781EF0"/>
    <w:rsid w:val="007827C6"/>
    <w:rsid w:val="0078795B"/>
    <w:rsid w:val="007A2E6A"/>
    <w:rsid w:val="007A56CD"/>
    <w:rsid w:val="007A7452"/>
    <w:rsid w:val="007B04FC"/>
    <w:rsid w:val="007B694E"/>
    <w:rsid w:val="007C5091"/>
    <w:rsid w:val="007E0CC4"/>
    <w:rsid w:val="007E55A7"/>
    <w:rsid w:val="007E720D"/>
    <w:rsid w:val="007F2759"/>
    <w:rsid w:val="007F4267"/>
    <w:rsid w:val="00800B83"/>
    <w:rsid w:val="008138CE"/>
    <w:rsid w:val="0082471E"/>
    <w:rsid w:val="00827492"/>
    <w:rsid w:val="008309F4"/>
    <w:rsid w:val="00830A80"/>
    <w:rsid w:val="00843E93"/>
    <w:rsid w:val="00851980"/>
    <w:rsid w:val="0085693B"/>
    <w:rsid w:val="00871F62"/>
    <w:rsid w:val="00875FBD"/>
    <w:rsid w:val="00876D97"/>
    <w:rsid w:val="008822AB"/>
    <w:rsid w:val="00891BA1"/>
    <w:rsid w:val="00893FE9"/>
    <w:rsid w:val="008967AE"/>
    <w:rsid w:val="008D307F"/>
    <w:rsid w:val="008E01EB"/>
    <w:rsid w:val="008E032F"/>
    <w:rsid w:val="008E6123"/>
    <w:rsid w:val="00934E05"/>
    <w:rsid w:val="0094530F"/>
    <w:rsid w:val="0097695C"/>
    <w:rsid w:val="00993571"/>
    <w:rsid w:val="00996B39"/>
    <w:rsid w:val="009B05FA"/>
    <w:rsid w:val="00A04D80"/>
    <w:rsid w:val="00A06DD1"/>
    <w:rsid w:val="00A1446B"/>
    <w:rsid w:val="00A24ADE"/>
    <w:rsid w:val="00A87FCA"/>
    <w:rsid w:val="00AA53AA"/>
    <w:rsid w:val="00AA714A"/>
    <w:rsid w:val="00AB5598"/>
    <w:rsid w:val="00AC6899"/>
    <w:rsid w:val="00AD3D72"/>
    <w:rsid w:val="00AD4386"/>
    <w:rsid w:val="00AD7A9A"/>
    <w:rsid w:val="00B02D18"/>
    <w:rsid w:val="00B0390D"/>
    <w:rsid w:val="00B03B6D"/>
    <w:rsid w:val="00B076FF"/>
    <w:rsid w:val="00B663DE"/>
    <w:rsid w:val="00B9417A"/>
    <w:rsid w:val="00BB1D52"/>
    <w:rsid w:val="00BB611A"/>
    <w:rsid w:val="00BE2DD2"/>
    <w:rsid w:val="00BF6929"/>
    <w:rsid w:val="00C37C1E"/>
    <w:rsid w:val="00C54E8E"/>
    <w:rsid w:val="00C63F61"/>
    <w:rsid w:val="00C81277"/>
    <w:rsid w:val="00C82C70"/>
    <w:rsid w:val="00C94A01"/>
    <w:rsid w:val="00CA1D30"/>
    <w:rsid w:val="00CA5529"/>
    <w:rsid w:val="00CA5B25"/>
    <w:rsid w:val="00CE735F"/>
    <w:rsid w:val="00CF577B"/>
    <w:rsid w:val="00D022B1"/>
    <w:rsid w:val="00D04722"/>
    <w:rsid w:val="00D21B35"/>
    <w:rsid w:val="00D307C3"/>
    <w:rsid w:val="00D32654"/>
    <w:rsid w:val="00D36773"/>
    <w:rsid w:val="00D5295E"/>
    <w:rsid w:val="00D64E3A"/>
    <w:rsid w:val="00D66871"/>
    <w:rsid w:val="00D8510B"/>
    <w:rsid w:val="00D91E8A"/>
    <w:rsid w:val="00DC521C"/>
    <w:rsid w:val="00DD2C18"/>
    <w:rsid w:val="00DF5899"/>
    <w:rsid w:val="00E11192"/>
    <w:rsid w:val="00E230C8"/>
    <w:rsid w:val="00E23B69"/>
    <w:rsid w:val="00E64082"/>
    <w:rsid w:val="00E73DFE"/>
    <w:rsid w:val="00E766CB"/>
    <w:rsid w:val="00E773D9"/>
    <w:rsid w:val="00E94708"/>
    <w:rsid w:val="00EA776C"/>
    <w:rsid w:val="00EA77C6"/>
    <w:rsid w:val="00EC6623"/>
    <w:rsid w:val="00EC6B65"/>
    <w:rsid w:val="00ED7BBC"/>
    <w:rsid w:val="00EE21D1"/>
    <w:rsid w:val="00EE57A7"/>
    <w:rsid w:val="00EF4595"/>
    <w:rsid w:val="00F0480D"/>
    <w:rsid w:val="00F23651"/>
    <w:rsid w:val="00F258F1"/>
    <w:rsid w:val="00F35E0C"/>
    <w:rsid w:val="00F708E6"/>
    <w:rsid w:val="00F77E71"/>
    <w:rsid w:val="00F84FA2"/>
    <w:rsid w:val="00FB6924"/>
    <w:rsid w:val="00FD417D"/>
    <w:rsid w:val="00F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2EA7B"/>
  <w15:docId w15:val="{085326E4-4F55-4C8C-9336-DE0338E9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3AA"/>
    <w:pPr>
      <w:spacing w:before="120" w:line="260" w:lineRule="atLeast"/>
    </w:pPr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3AA"/>
    <w:pPr>
      <w:spacing w:after="240"/>
      <w:outlineLvl w:val="0"/>
    </w:pPr>
    <w:rPr>
      <w:b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53AA"/>
    <w:pPr>
      <w:spacing w:after="120"/>
      <w:outlineLvl w:val="1"/>
    </w:pPr>
    <w:rPr>
      <w:b/>
      <w:i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77C6"/>
    <w:pPr>
      <w:spacing w:after="120"/>
      <w:outlineLvl w:val="2"/>
    </w:pPr>
    <w:rPr>
      <w:b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61"/>
  </w:style>
  <w:style w:type="paragraph" w:styleId="Footer">
    <w:name w:val="footer"/>
    <w:basedOn w:val="Normal"/>
    <w:link w:val="FooterChar"/>
    <w:uiPriority w:val="99"/>
    <w:unhideWhenUsed/>
    <w:rsid w:val="00EA77C6"/>
    <w:pPr>
      <w:spacing w:before="0" w:after="0" w:line="240" w:lineRule="auto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A77C6"/>
    <w:rPr>
      <w:sz w:val="16"/>
      <w:szCs w:val="16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F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438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7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38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38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38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8C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A53AA"/>
    <w:rPr>
      <w:b/>
      <w:sz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A53AA"/>
    <w:rPr>
      <w:b/>
      <w:i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A77C6"/>
    <w:rPr>
      <w:b/>
      <w:i/>
      <w:lang w:val="en-US"/>
    </w:rPr>
  </w:style>
  <w:style w:type="paragraph" w:styleId="ListParagraph">
    <w:name w:val="List Paragraph"/>
    <w:basedOn w:val="Normal"/>
    <w:uiPriority w:val="34"/>
    <w:qFormat/>
    <w:rsid w:val="00A87FC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891BA1"/>
    <w:pPr>
      <w:spacing w:before="0" w:after="120" w:line="240" w:lineRule="auto"/>
      <w:jc w:val="both"/>
    </w:pPr>
    <w:rPr>
      <w:rFonts w:ascii="Calibri" w:eastAsia="Calibri" w:hAnsi="Calibri" w:cs="Calibri"/>
      <w:sz w:val="24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891BA1"/>
    <w:rPr>
      <w:rFonts w:ascii="Calibri" w:eastAsia="Calibri" w:hAnsi="Calibri" w:cs="Calibri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rsid w:val="006A5D7E"/>
  </w:style>
  <w:style w:type="paragraph" w:styleId="FootnoteText">
    <w:name w:val="footnote text"/>
    <w:basedOn w:val="Normal"/>
    <w:link w:val="FootnoteTextChar"/>
    <w:semiHidden/>
    <w:rsid w:val="00EA776C"/>
    <w:pPr>
      <w:spacing w:before="0"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EA776C"/>
    <w:rPr>
      <w:rFonts w:ascii="Times New Roman" w:eastAsia="Times New Roman" w:hAnsi="Times New Roman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EA776C"/>
    <w:rPr>
      <w:vertAlign w:val="superscript"/>
    </w:rPr>
  </w:style>
  <w:style w:type="paragraph" w:styleId="NoSpacing">
    <w:name w:val="No Spacing"/>
    <w:uiPriority w:val="1"/>
    <w:qFormat/>
    <w:rsid w:val="00D8510B"/>
    <w:pPr>
      <w:spacing w:after="0" w:line="240" w:lineRule="auto"/>
      <w:ind w:left="1701"/>
      <w:jc w:val="both"/>
    </w:pPr>
    <w:rPr>
      <w:rFonts w:ascii="Optima" w:eastAsia="Times New Roman" w:hAnsi="Optima" w:cs="Times New Roman"/>
      <w:szCs w:val="20"/>
      <w:lang w:eastAsia="en-GB"/>
    </w:rPr>
  </w:style>
  <w:style w:type="paragraph" w:styleId="PlainText">
    <w:name w:val="Plain Text"/>
    <w:basedOn w:val="Normal"/>
    <w:link w:val="PlainTextChar"/>
    <w:rsid w:val="00CF577B"/>
    <w:pPr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PlainTextChar">
    <w:name w:val="Plain Text Char"/>
    <w:basedOn w:val="DefaultParagraphFont"/>
    <w:link w:val="PlainText"/>
    <w:rsid w:val="00CF577B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Strong">
    <w:name w:val="Strong"/>
    <w:qFormat/>
    <w:rsid w:val="00497715"/>
    <w:rPr>
      <w:b/>
    </w:rPr>
  </w:style>
  <w:style w:type="paragraph" w:customStyle="1" w:styleId="Blockquote">
    <w:name w:val="Blockquote"/>
    <w:basedOn w:val="Normal"/>
    <w:rsid w:val="00497715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styleId="Emphasis">
    <w:name w:val="Emphasis"/>
    <w:qFormat/>
    <w:rsid w:val="00125239"/>
    <w:rPr>
      <w:i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5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peaid/pra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c.europa.eu/europeaid/prag/?header_description=DEVCO+Prag+to+financial+%20and+contractual+procedures+applicable+to+external+actions+financed+from+the+%20general+budget+of+the+EU+and+from+the+11th+EDF&amp;header_%20keywords=ePrag%2C+europ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75F1C-6868-4AF7-9286-DFE12D383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398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Bardos</dc:creator>
  <cp:keywords/>
  <dc:description/>
  <cp:lastModifiedBy>Vasile OSTAFE</cp:lastModifiedBy>
  <cp:revision>5</cp:revision>
  <cp:lastPrinted>2019-10-21T10:02:00Z</cp:lastPrinted>
  <dcterms:created xsi:type="dcterms:W3CDTF">2019-11-21T15:16:00Z</dcterms:created>
  <dcterms:modified xsi:type="dcterms:W3CDTF">2020-02-24T11:22:00Z</dcterms:modified>
</cp:coreProperties>
</file>